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12F3" w:rsidRPr="003E0534" w:rsidRDefault="00A90075" w:rsidP="00AC1C62">
      <w:pPr>
        <w:jc w:val="both"/>
        <w:rPr>
          <w:rFonts w:ascii="Times New Roman" w:hAnsi="Times New Roman" w:cs="Times New Roman"/>
        </w:rPr>
      </w:pPr>
      <w:bookmarkStart w:id="0" w:name="_GoBack"/>
      <w:bookmarkEnd w:id="0"/>
      <w:r w:rsidRPr="003E0534">
        <w:rPr>
          <w:rFonts w:ascii="Times New Roman" w:hAnsi="Times New Roman" w:cs="Times New Roman"/>
          <w:noProof/>
          <w:lang w:eastAsia="it-IT"/>
        </w:rPr>
        <w:drawing>
          <wp:inline distT="0" distB="0" distL="0" distR="0">
            <wp:extent cx="1790700" cy="1666875"/>
            <wp:effectExtent l="1905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790700" cy="1666875"/>
                    </a:xfrm>
                    <a:prstGeom prst="rect">
                      <a:avLst/>
                    </a:prstGeom>
                    <a:noFill/>
                    <a:ln w="9525">
                      <a:noFill/>
                      <a:miter lim="800000"/>
                      <a:headEnd/>
                      <a:tailEnd/>
                    </a:ln>
                  </pic:spPr>
                </pic:pic>
              </a:graphicData>
            </a:graphic>
          </wp:inline>
        </w:drawing>
      </w:r>
    </w:p>
    <w:p w:rsidR="00AC1C62" w:rsidRPr="006C7E8B" w:rsidRDefault="00156490" w:rsidP="00AC1C62">
      <w:pPr>
        <w:jc w:val="right"/>
        <w:rPr>
          <w:rFonts w:ascii="Times New Roman" w:hAnsi="Times New Roman" w:cs="Times New Roman"/>
          <w:b/>
          <w:sz w:val="24"/>
          <w:szCs w:val="24"/>
        </w:rPr>
      </w:pPr>
      <w:r w:rsidRPr="006C7E8B">
        <w:rPr>
          <w:rFonts w:ascii="Times New Roman" w:hAnsi="Times New Roman" w:cs="Times New Roman"/>
          <w:b/>
          <w:sz w:val="24"/>
          <w:szCs w:val="24"/>
        </w:rPr>
        <w:t xml:space="preserve">Allegato </w:t>
      </w:r>
      <w:r w:rsidR="00AC1C62" w:rsidRPr="006C7E8B">
        <w:rPr>
          <w:rFonts w:ascii="Times New Roman" w:hAnsi="Times New Roman" w:cs="Times New Roman"/>
          <w:b/>
          <w:sz w:val="24"/>
          <w:szCs w:val="24"/>
        </w:rPr>
        <w:t>3</w:t>
      </w:r>
    </w:p>
    <w:p w:rsidR="00AC1C62" w:rsidRPr="006C7E8B" w:rsidRDefault="00AC1C62" w:rsidP="00A90075">
      <w:pPr>
        <w:jc w:val="both"/>
        <w:rPr>
          <w:rFonts w:ascii="Times New Roman" w:hAnsi="Times New Roman" w:cs="Times New Roman"/>
          <w:sz w:val="24"/>
          <w:szCs w:val="24"/>
        </w:rPr>
      </w:pPr>
    </w:p>
    <w:p w:rsidR="00AC1C62" w:rsidRPr="006C7E8B" w:rsidRDefault="00A90075" w:rsidP="00A90075">
      <w:pPr>
        <w:jc w:val="both"/>
        <w:rPr>
          <w:rFonts w:ascii="Times New Roman" w:hAnsi="Times New Roman" w:cs="Times New Roman"/>
          <w:b/>
          <w:sz w:val="24"/>
          <w:szCs w:val="24"/>
        </w:rPr>
      </w:pPr>
      <w:r w:rsidRPr="006C7E8B">
        <w:rPr>
          <w:rFonts w:ascii="Times New Roman" w:hAnsi="Times New Roman" w:cs="Times New Roman"/>
          <w:b/>
          <w:sz w:val="24"/>
          <w:szCs w:val="24"/>
        </w:rPr>
        <w:t xml:space="preserve">CAPITOLATO TECNICO </w:t>
      </w:r>
    </w:p>
    <w:p w:rsidR="00245E4E" w:rsidRPr="006C7E8B" w:rsidRDefault="0054495C" w:rsidP="00B33734">
      <w:pPr>
        <w:pStyle w:val="Rientrocorpodeltesto"/>
        <w:ind w:left="0"/>
        <w:jc w:val="both"/>
        <w:rPr>
          <w:rFonts w:ascii="Times New Roman" w:eastAsia="SimSun" w:hAnsi="Times New Roman" w:cs="Times New Roman"/>
          <w:b/>
          <w:sz w:val="24"/>
          <w:szCs w:val="24"/>
        </w:rPr>
      </w:pPr>
      <w:r w:rsidRPr="006C7E8B">
        <w:rPr>
          <w:rFonts w:ascii="Times New Roman" w:hAnsi="Times New Roman" w:cs="Times New Roman"/>
          <w:sz w:val="24"/>
          <w:szCs w:val="24"/>
        </w:rPr>
        <w:t xml:space="preserve">MODALITÀ </w:t>
      </w:r>
      <w:r w:rsidR="00A90075" w:rsidRPr="006C7E8B">
        <w:rPr>
          <w:rFonts w:ascii="Times New Roman" w:hAnsi="Times New Roman" w:cs="Times New Roman"/>
          <w:sz w:val="24"/>
          <w:szCs w:val="24"/>
        </w:rPr>
        <w:t xml:space="preserve">PER IL SERVIZIO </w:t>
      </w:r>
      <w:proofErr w:type="spellStart"/>
      <w:r w:rsidRPr="006C7E8B">
        <w:rPr>
          <w:rFonts w:ascii="Times New Roman" w:hAnsi="Times New Roman" w:cs="Times New Roman"/>
          <w:sz w:val="24"/>
          <w:szCs w:val="24"/>
        </w:rPr>
        <w:t>DI</w:t>
      </w:r>
      <w:proofErr w:type="spellEnd"/>
      <w:r w:rsidRPr="006C7E8B">
        <w:rPr>
          <w:rFonts w:ascii="Times New Roman" w:hAnsi="Times New Roman" w:cs="Times New Roman"/>
          <w:sz w:val="24"/>
          <w:szCs w:val="24"/>
        </w:rPr>
        <w:t xml:space="preserve"> </w:t>
      </w:r>
      <w:r w:rsidR="006D67DA" w:rsidRPr="006C7E8B">
        <w:rPr>
          <w:rFonts w:ascii="Times New Roman" w:hAnsi="Times New Roman" w:cs="Times New Roman"/>
          <w:b/>
          <w:bCs/>
          <w:sz w:val="24"/>
          <w:szCs w:val="24"/>
        </w:rPr>
        <w:t>Supporto alla realizzazione di un piano nazionale di monitoraggio degli habitat terrestri</w:t>
      </w:r>
      <w:r w:rsidR="008164D7">
        <w:rPr>
          <w:rFonts w:ascii="Times New Roman" w:hAnsi="Times New Roman" w:cs="Times New Roman"/>
          <w:b/>
          <w:bCs/>
          <w:sz w:val="24"/>
          <w:szCs w:val="24"/>
        </w:rPr>
        <w:t xml:space="preserve"> e delle acque interne</w:t>
      </w:r>
      <w:r w:rsidR="006D67DA" w:rsidRPr="006C7E8B">
        <w:rPr>
          <w:rFonts w:ascii="Times New Roman" w:hAnsi="Times New Roman" w:cs="Times New Roman"/>
          <w:b/>
          <w:bCs/>
          <w:sz w:val="24"/>
          <w:szCs w:val="24"/>
        </w:rPr>
        <w:t xml:space="preserve"> di interesse comunitario (all. 1 Direttiva Habitat) presenti sul territorio nazionale</w:t>
      </w:r>
      <w:r w:rsidR="00245E4E" w:rsidRPr="006C7E8B">
        <w:rPr>
          <w:rFonts w:ascii="Times New Roman" w:hAnsi="Times New Roman" w:cs="Times New Roman"/>
          <w:b/>
          <w:bCs/>
          <w:sz w:val="24"/>
          <w:szCs w:val="24"/>
        </w:rPr>
        <w:t xml:space="preserve"> nell’ambito della</w:t>
      </w:r>
      <w:r w:rsidR="00014984" w:rsidRPr="006C7E8B">
        <w:rPr>
          <w:rFonts w:ascii="Times New Roman" w:hAnsi="Times New Roman" w:cs="Times New Roman"/>
          <w:b/>
          <w:bCs/>
          <w:sz w:val="24"/>
          <w:szCs w:val="24"/>
        </w:rPr>
        <w:t xml:space="preserve"> C</w:t>
      </w:r>
      <w:r w:rsidR="00245E4E" w:rsidRPr="006C7E8B">
        <w:rPr>
          <w:rFonts w:ascii="Times New Roman" w:hAnsi="Times New Roman" w:cs="Times New Roman"/>
          <w:b/>
          <w:bCs/>
          <w:sz w:val="24"/>
          <w:szCs w:val="24"/>
        </w:rPr>
        <w:t xml:space="preserve">onvenzione “Supporto alla realizzazione di un Piano Nazionale di Monitoraggio delle specie ed habitat terrestri e delle acque interne di interesse comunitario, in sinergia con la rete degli osservatori/uffici regionali biodiversità, per l’attuazione della Strategia Nazionale per la Biodiversità”  in favore di ISPRA sede di </w:t>
      </w:r>
      <w:proofErr w:type="spellStart"/>
      <w:r w:rsidR="00245E4E" w:rsidRPr="006C7E8B">
        <w:rPr>
          <w:rFonts w:ascii="Times New Roman" w:hAnsi="Times New Roman" w:cs="Times New Roman"/>
          <w:b/>
          <w:bCs/>
          <w:sz w:val="24"/>
          <w:szCs w:val="24"/>
        </w:rPr>
        <w:t>Ozzano</w:t>
      </w:r>
      <w:proofErr w:type="spellEnd"/>
      <w:r w:rsidR="00245E4E" w:rsidRPr="006C7E8B">
        <w:rPr>
          <w:rFonts w:ascii="Times New Roman" w:hAnsi="Times New Roman" w:cs="Times New Roman"/>
          <w:b/>
          <w:bCs/>
          <w:sz w:val="24"/>
          <w:szCs w:val="24"/>
        </w:rPr>
        <w:t xml:space="preserve"> dell’Emilia (BO)</w:t>
      </w:r>
    </w:p>
    <w:p w:rsidR="00A90075" w:rsidRPr="006C7E8B" w:rsidRDefault="00A90075" w:rsidP="00A90075">
      <w:pPr>
        <w:jc w:val="both"/>
        <w:rPr>
          <w:rFonts w:ascii="Times New Roman" w:hAnsi="Times New Roman" w:cs="Times New Roman"/>
          <w:sz w:val="24"/>
          <w:szCs w:val="24"/>
        </w:rPr>
      </w:pPr>
    </w:p>
    <w:p w:rsidR="00A90075" w:rsidRPr="006C7E8B" w:rsidRDefault="00A90075" w:rsidP="00A90075">
      <w:pPr>
        <w:jc w:val="both"/>
        <w:rPr>
          <w:rFonts w:ascii="Times New Roman" w:hAnsi="Times New Roman" w:cs="Times New Roman"/>
          <w:b/>
          <w:sz w:val="24"/>
          <w:szCs w:val="24"/>
        </w:rPr>
      </w:pPr>
      <w:r w:rsidRPr="006C7E8B">
        <w:rPr>
          <w:rFonts w:ascii="Times New Roman" w:hAnsi="Times New Roman" w:cs="Times New Roman"/>
          <w:b/>
          <w:sz w:val="24"/>
          <w:szCs w:val="24"/>
        </w:rPr>
        <w:t>ART. 1 – CONDIZIONI DEL SERVIZIO</w:t>
      </w:r>
    </w:p>
    <w:p w:rsidR="00DA6042" w:rsidRPr="006C7E8B" w:rsidRDefault="00DA6042" w:rsidP="00DA6042">
      <w:pPr>
        <w:pStyle w:val="oggetto"/>
        <w:spacing w:before="120"/>
        <w:ind w:left="66"/>
        <w:rPr>
          <w:rFonts w:ascii="Times New Roman" w:hAnsi="Times New Roman"/>
          <w:sz w:val="24"/>
          <w:szCs w:val="24"/>
        </w:rPr>
      </w:pPr>
      <w:r w:rsidRPr="006C7E8B">
        <w:rPr>
          <w:rFonts w:ascii="Times New Roman" w:hAnsi="Times New Roman"/>
          <w:sz w:val="24"/>
          <w:szCs w:val="24"/>
        </w:rPr>
        <w:t>Le attività riguarderanno i seguenti punti:</w:t>
      </w:r>
    </w:p>
    <w:p w:rsidR="00CD68A0" w:rsidRPr="006C7E8B" w:rsidRDefault="00CD68A0" w:rsidP="00DA6042">
      <w:pPr>
        <w:pStyle w:val="oggetto"/>
        <w:spacing w:before="120"/>
        <w:ind w:left="66"/>
        <w:rPr>
          <w:rFonts w:ascii="Times New Roman" w:hAnsi="Times New Roman"/>
          <w:sz w:val="24"/>
          <w:szCs w:val="24"/>
        </w:rPr>
      </w:pPr>
    </w:p>
    <w:p w:rsidR="00014984" w:rsidRPr="006C7E8B" w:rsidRDefault="00014984" w:rsidP="00014984">
      <w:pPr>
        <w:pStyle w:val="oggetto"/>
        <w:numPr>
          <w:ilvl w:val="0"/>
          <w:numId w:val="2"/>
        </w:numPr>
        <w:spacing w:before="120"/>
        <w:rPr>
          <w:rFonts w:ascii="Times New Roman" w:hAnsi="Times New Roman"/>
          <w:sz w:val="24"/>
          <w:szCs w:val="24"/>
        </w:rPr>
      </w:pPr>
      <w:r w:rsidRPr="006C7E8B">
        <w:rPr>
          <w:rFonts w:ascii="Times New Roman" w:hAnsi="Times New Roman"/>
          <w:b/>
          <w:sz w:val="24"/>
          <w:szCs w:val="24"/>
        </w:rPr>
        <w:t>Supporto alla predisposizione di bozze di schede di monitoraggio</w:t>
      </w:r>
      <w:r w:rsidRPr="006C7E8B">
        <w:rPr>
          <w:rFonts w:ascii="Times New Roman" w:hAnsi="Times New Roman"/>
          <w:sz w:val="24"/>
          <w:szCs w:val="24"/>
        </w:rPr>
        <w:t xml:space="preserve"> per tutti gli habitat terrestri e d’acqua dolce dell’allegato I della Direttiva 92/43/CE</w:t>
      </w:r>
      <w:r w:rsidR="0029431B" w:rsidRPr="006C7E8B">
        <w:rPr>
          <w:rFonts w:ascii="Times New Roman" w:hAnsi="Times New Roman"/>
          <w:sz w:val="24"/>
          <w:szCs w:val="24"/>
        </w:rPr>
        <w:t xml:space="preserve"> </w:t>
      </w:r>
      <w:r w:rsidRPr="006C7E8B">
        <w:rPr>
          <w:rFonts w:ascii="Times New Roman" w:hAnsi="Times New Roman"/>
          <w:sz w:val="24"/>
          <w:szCs w:val="24"/>
        </w:rPr>
        <w:t xml:space="preserve">presenti in Italia. Le schede saranno impostate secondo i parametri previsti dal sistema di </w:t>
      </w:r>
      <w:proofErr w:type="spellStart"/>
      <w:r w:rsidRPr="006C7E8B">
        <w:rPr>
          <w:rFonts w:ascii="Times New Roman" w:hAnsi="Times New Roman"/>
          <w:i/>
          <w:sz w:val="24"/>
          <w:szCs w:val="24"/>
        </w:rPr>
        <w:t>reporting</w:t>
      </w:r>
      <w:proofErr w:type="spellEnd"/>
      <w:r w:rsidRPr="006C7E8B">
        <w:rPr>
          <w:rFonts w:ascii="Times New Roman" w:hAnsi="Times New Roman"/>
          <w:sz w:val="24"/>
          <w:szCs w:val="24"/>
        </w:rPr>
        <w:t xml:space="preserve"> della Direttiva ex art. 17. Tale attività dovrà essere svolta in contatto con ISPRA, tenendo conto anche delle indicazioni che dovessero emergere a livello comunitario nell'arco di tempo della convenzione.</w:t>
      </w:r>
    </w:p>
    <w:p w:rsidR="00014984" w:rsidRPr="006C7E8B" w:rsidRDefault="00014984" w:rsidP="00014984">
      <w:pPr>
        <w:pStyle w:val="Paragrafoelenco"/>
        <w:spacing w:after="0" w:line="240" w:lineRule="auto"/>
        <w:ind w:left="426"/>
        <w:jc w:val="both"/>
        <w:rPr>
          <w:rFonts w:ascii="Times New Roman" w:hAnsi="Times New Roman"/>
          <w:sz w:val="24"/>
          <w:szCs w:val="24"/>
        </w:rPr>
      </w:pPr>
    </w:p>
    <w:p w:rsidR="006D67DA" w:rsidRPr="006C7E8B" w:rsidRDefault="006D67DA" w:rsidP="006D67DA">
      <w:pPr>
        <w:pStyle w:val="Paragrafoelenco"/>
        <w:numPr>
          <w:ilvl w:val="0"/>
          <w:numId w:val="2"/>
        </w:numPr>
        <w:spacing w:after="0" w:line="240" w:lineRule="auto"/>
        <w:jc w:val="both"/>
        <w:rPr>
          <w:rFonts w:ascii="Times New Roman" w:hAnsi="Times New Roman"/>
          <w:sz w:val="24"/>
          <w:szCs w:val="24"/>
        </w:rPr>
      </w:pPr>
      <w:r w:rsidRPr="006C7E8B">
        <w:rPr>
          <w:rFonts w:ascii="Times New Roman" w:hAnsi="Times New Roman"/>
          <w:b/>
          <w:sz w:val="24"/>
          <w:szCs w:val="24"/>
        </w:rPr>
        <w:t>Supporto per l’analisi dei casi di potenziale insufficienza</w:t>
      </w:r>
      <w:r w:rsidRPr="006C7E8B">
        <w:rPr>
          <w:rFonts w:ascii="Times New Roman" w:hAnsi="Times New Roman"/>
          <w:sz w:val="24"/>
          <w:szCs w:val="24"/>
        </w:rPr>
        <w:t xml:space="preserve"> degli habitat terrestri in vista del Seminario </w:t>
      </w:r>
      <w:proofErr w:type="spellStart"/>
      <w:r w:rsidRPr="006C7E8B">
        <w:rPr>
          <w:rFonts w:ascii="Times New Roman" w:hAnsi="Times New Roman"/>
          <w:sz w:val="24"/>
          <w:szCs w:val="24"/>
        </w:rPr>
        <w:t>Biogeografico</w:t>
      </w:r>
      <w:proofErr w:type="spellEnd"/>
      <w:r w:rsidRPr="006C7E8B">
        <w:rPr>
          <w:rFonts w:ascii="Times New Roman" w:hAnsi="Times New Roman"/>
          <w:sz w:val="24"/>
          <w:szCs w:val="24"/>
        </w:rPr>
        <w:t xml:space="preserve"> richiesto dalla Commissione Europea per valutare la completezza della Rete Natura 2000 in Italia, e supporto per la stesura di chiarimenti su tali casi. Supporto </w:t>
      </w:r>
      <w:r w:rsidR="00CD68A0" w:rsidRPr="006C7E8B">
        <w:rPr>
          <w:rFonts w:ascii="Times New Roman" w:hAnsi="Times New Roman"/>
          <w:sz w:val="24"/>
          <w:szCs w:val="24"/>
        </w:rPr>
        <w:t>alle</w:t>
      </w:r>
      <w:r w:rsidRPr="006C7E8B">
        <w:rPr>
          <w:rFonts w:ascii="Times New Roman" w:hAnsi="Times New Roman"/>
          <w:sz w:val="24"/>
          <w:szCs w:val="24"/>
        </w:rPr>
        <w:t xml:space="preserve"> attività di confronto e scambio tra ISPRA, Ministero Ambiente e Regioni e Province Autonome, per la risoluzione dei casi di insufficienza non risolti, anche assicurando la partecipazione ad almeno quattro riunioni tecniche.</w:t>
      </w:r>
    </w:p>
    <w:p w:rsidR="003547B5" w:rsidRPr="006C7E8B" w:rsidRDefault="003547B5" w:rsidP="003547B5">
      <w:pPr>
        <w:pStyle w:val="oggetto"/>
        <w:numPr>
          <w:ilvl w:val="0"/>
          <w:numId w:val="2"/>
        </w:numPr>
        <w:spacing w:before="120"/>
        <w:rPr>
          <w:rFonts w:ascii="Times New Roman" w:hAnsi="Times New Roman"/>
          <w:sz w:val="24"/>
          <w:szCs w:val="24"/>
        </w:rPr>
      </w:pPr>
      <w:r w:rsidRPr="006C7E8B">
        <w:rPr>
          <w:rFonts w:ascii="Times New Roman" w:hAnsi="Times New Roman"/>
          <w:b/>
          <w:sz w:val="24"/>
          <w:szCs w:val="24"/>
        </w:rPr>
        <w:t xml:space="preserve">Partecipazione e supporto tecnico-scientifico nel Seminario </w:t>
      </w:r>
      <w:proofErr w:type="spellStart"/>
      <w:r w:rsidRPr="006C7E8B">
        <w:rPr>
          <w:rFonts w:ascii="Times New Roman" w:hAnsi="Times New Roman"/>
          <w:b/>
          <w:sz w:val="24"/>
          <w:szCs w:val="24"/>
        </w:rPr>
        <w:t>Biogeografico</w:t>
      </w:r>
      <w:proofErr w:type="spellEnd"/>
      <w:r w:rsidRPr="006C7E8B">
        <w:rPr>
          <w:rFonts w:ascii="Times New Roman" w:hAnsi="Times New Roman"/>
          <w:b/>
          <w:sz w:val="24"/>
          <w:szCs w:val="24"/>
        </w:rPr>
        <w:t xml:space="preserve"> organizzato dalla Commissione Europea e dal MATTM</w:t>
      </w:r>
      <w:r w:rsidRPr="006C7E8B">
        <w:rPr>
          <w:rFonts w:ascii="Times New Roman" w:hAnsi="Times New Roman"/>
          <w:sz w:val="24"/>
          <w:szCs w:val="24"/>
        </w:rPr>
        <w:t xml:space="preserve"> (Roma, data prevista: </w:t>
      </w:r>
      <w:r w:rsidR="00833996" w:rsidRPr="006C7E8B">
        <w:rPr>
          <w:rFonts w:ascii="Times New Roman" w:hAnsi="Times New Roman"/>
          <w:sz w:val="24"/>
          <w:szCs w:val="24"/>
        </w:rPr>
        <w:t>7-8 ottobre</w:t>
      </w:r>
      <w:r w:rsidRPr="006C7E8B">
        <w:rPr>
          <w:rFonts w:ascii="Times New Roman" w:hAnsi="Times New Roman"/>
          <w:sz w:val="24"/>
          <w:szCs w:val="24"/>
        </w:rPr>
        <w:t xml:space="preserve"> 2015). Supporto tecnico-scientifico nell’ambito del Seminario e nello scambio di informazioni con Regioni e Province Autonome.</w:t>
      </w:r>
    </w:p>
    <w:p w:rsidR="003547B5" w:rsidRPr="006C7E8B" w:rsidRDefault="003547B5" w:rsidP="003547B5">
      <w:pPr>
        <w:pStyle w:val="oggetto"/>
        <w:numPr>
          <w:ilvl w:val="0"/>
          <w:numId w:val="2"/>
        </w:numPr>
        <w:spacing w:before="120"/>
        <w:rPr>
          <w:rFonts w:ascii="Times New Roman" w:hAnsi="Times New Roman"/>
          <w:sz w:val="24"/>
          <w:szCs w:val="24"/>
        </w:rPr>
      </w:pPr>
      <w:r w:rsidRPr="006C7E8B">
        <w:rPr>
          <w:rFonts w:ascii="Times New Roman" w:hAnsi="Times New Roman"/>
          <w:b/>
          <w:sz w:val="24"/>
          <w:szCs w:val="24"/>
        </w:rPr>
        <w:lastRenderedPageBreak/>
        <w:t>Verifica delle schede di monitoraggio prodotte</w:t>
      </w:r>
      <w:r w:rsidRPr="006C7E8B">
        <w:rPr>
          <w:rFonts w:ascii="Times New Roman" w:hAnsi="Times New Roman"/>
          <w:sz w:val="24"/>
          <w:szCs w:val="24"/>
        </w:rPr>
        <w:t>, e realizzazione di test a campione delle schede per almeno 10 habitat, per la valutazione dell’operatività delle schede proposte. Eventuale revisione delle schede alla luce dei commenti ed input forniti dai soggetti coinvolti. In relazione alla fenologia delle specie e degli habitat oggetto del monitoraggio, tale fase dovrà protrarsi fino alla primavera 2016. La selezione degli habitat oggetto delle verifiche sarà concordata con ISPRA e con il MATTM tenendo conto delle problematiche operative e del quadro di conoscenze disponibili.</w:t>
      </w:r>
    </w:p>
    <w:p w:rsidR="003547B5" w:rsidRPr="006C7E8B" w:rsidRDefault="00CD68A0" w:rsidP="003547B5">
      <w:pPr>
        <w:pStyle w:val="oggetto"/>
        <w:numPr>
          <w:ilvl w:val="0"/>
          <w:numId w:val="2"/>
        </w:numPr>
        <w:spacing w:before="120"/>
        <w:rPr>
          <w:rFonts w:ascii="Times New Roman" w:hAnsi="Times New Roman"/>
          <w:sz w:val="24"/>
          <w:szCs w:val="24"/>
        </w:rPr>
      </w:pPr>
      <w:r w:rsidRPr="006C7E8B">
        <w:rPr>
          <w:rFonts w:ascii="Times New Roman" w:hAnsi="Times New Roman"/>
          <w:b/>
          <w:sz w:val="24"/>
          <w:szCs w:val="24"/>
        </w:rPr>
        <w:t>Supporto ad ISPRA nelle attività relative ai Valori Favorevoli di Riferimento</w:t>
      </w:r>
      <w:r w:rsidRPr="006C7E8B">
        <w:rPr>
          <w:rFonts w:ascii="Times New Roman" w:hAnsi="Times New Roman"/>
          <w:sz w:val="24"/>
          <w:szCs w:val="24"/>
        </w:rPr>
        <w:t xml:space="preserve"> (VFR): supporto alla partecipazione di ISPRA alle attività del </w:t>
      </w:r>
      <w:proofErr w:type="spellStart"/>
      <w:r w:rsidRPr="006C7E8B">
        <w:rPr>
          <w:rFonts w:ascii="Times New Roman" w:hAnsi="Times New Roman"/>
          <w:i/>
          <w:sz w:val="24"/>
          <w:szCs w:val="24"/>
        </w:rPr>
        <w:t>working</w:t>
      </w:r>
      <w:proofErr w:type="spellEnd"/>
      <w:r w:rsidRPr="006C7E8B">
        <w:rPr>
          <w:rFonts w:ascii="Times New Roman" w:hAnsi="Times New Roman"/>
          <w:i/>
          <w:sz w:val="24"/>
          <w:szCs w:val="24"/>
        </w:rPr>
        <w:t xml:space="preserve"> </w:t>
      </w:r>
      <w:proofErr w:type="spellStart"/>
      <w:r w:rsidRPr="006C7E8B">
        <w:rPr>
          <w:rFonts w:ascii="Times New Roman" w:hAnsi="Times New Roman"/>
          <w:i/>
          <w:sz w:val="24"/>
          <w:szCs w:val="24"/>
        </w:rPr>
        <w:t>group</w:t>
      </w:r>
      <w:proofErr w:type="spellEnd"/>
      <w:r w:rsidRPr="006C7E8B">
        <w:rPr>
          <w:rFonts w:ascii="Times New Roman" w:hAnsi="Times New Roman"/>
          <w:sz w:val="24"/>
          <w:szCs w:val="24"/>
        </w:rPr>
        <w:t xml:space="preserve"> europeo per il </w:t>
      </w:r>
      <w:proofErr w:type="spellStart"/>
      <w:r w:rsidRPr="006C7E8B">
        <w:rPr>
          <w:rFonts w:ascii="Times New Roman" w:hAnsi="Times New Roman"/>
          <w:i/>
          <w:sz w:val="24"/>
          <w:szCs w:val="24"/>
        </w:rPr>
        <w:t>reporting</w:t>
      </w:r>
      <w:proofErr w:type="spellEnd"/>
      <w:r w:rsidRPr="006C7E8B">
        <w:rPr>
          <w:rFonts w:ascii="Times New Roman" w:hAnsi="Times New Roman"/>
          <w:sz w:val="24"/>
          <w:szCs w:val="24"/>
        </w:rPr>
        <w:t xml:space="preserve"> della Direttiva Habitat</w:t>
      </w:r>
      <w:r w:rsidR="003547B5" w:rsidRPr="006C7E8B">
        <w:rPr>
          <w:rFonts w:ascii="Times New Roman" w:hAnsi="Times New Roman"/>
          <w:sz w:val="24"/>
          <w:szCs w:val="24"/>
        </w:rPr>
        <w:t>; analisi della documentazione prodotta dal sottogruppo tematico relativo ai VFR, per approfondire i concetti alla base della Direttiva Habitat</w:t>
      </w:r>
    </w:p>
    <w:p w:rsidR="003547B5" w:rsidRPr="006C7E8B" w:rsidRDefault="00CD68A0" w:rsidP="003547B5">
      <w:pPr>
        <w:pStyle w:val="oggetto"/>
        <w:numPr>
          <w:ilvl w:val="0"/>
          <w:numId w:val="2"/>
        </w:numPr>
        <w:spacing w:before="120"/>
        <w:rPr>
          <w:rFonts w:ascii="Times New Roman" w:hAnsi="Times New Roman"/>
          <w:sz w:val="24"/>
          <w:szCs w:val="24"/>
        </w:rPr>
      </w:pPr>
      <w:r w:rsidRPr="006C7E8B">
        <w:rPr>
          <w:rFonts w:ascii="Times New Roman" w:hAnsi="Times New Roman"/>
          <w:b/>
          <w:sz w:val="24"/>
          <w:szCs w:val="24"/>
        </w:rPr>
        <w:t xml:space="preserve">Supporto ad ISPRA per </w:t>
      </w:r>
      <w:r w:rsidR="003547B5" w:rsidRPr="006C7E8B">
        <w:rPr>
          <w:rFonts w:ascii="Times New Roman" w:hAnsi="Times New Roman"/>
          <w:b/>
          <w:sz w:val="24"/>
          <w:szCs w:val="24"/>
        </w:rPr>
        <w:t>l’elaborazione su base teorica, tramite modelli predittivi, di una metodologia per il calcolo dei VFR</w:t>
      </w:r>
      <w:r w:rsidR="003547B5" w:rsidRPr="006C7E8B">
        <w:rPr>
          <w:rFonts w:ascii="Times New Roman" w:hAnsi="Times New Roman"/>
          <w:sz w:val="24"/>
          <w:szCs w:val="24"/>
        </w:rPr>
        <w:t xml:space="preserve"> relativi all’area di distribuzione per almeno 10 habitat di interesse comunitario. Andrà assicurata una piena coerenza di approccio tra questa azione pilota e le indicazioni che emergeranno in tal senso entro il 2015 a livello comunitario.</w:t>
      </w:r>
    </w:p>
    <w:p w:rsidR="003547B5" w:rsidRPr="006C7E8B" w:rsidRDefault="00833996" w:rsidP="003547B5">
      <w:pPr>
        <w:pStyle w:val="oggetto"/>
        <w:numPr>
          <w:ilvl w:val="0"/>
          <w:numId w:val="2"/>
        </w:numPr>
        <w:spacing w:before="120"/>
        <w:rPr>
          <w:rFonts w:ascii="Times New Roman" w:hAnsi="Times New Roman"/>
          <w:sz w:val="24"/>
          <w:szCs w:val="24"/>
        </w:rPr>
      </w:pPr>
      <w:r w:rsidRPr="006C7E8B">
        <w:rPr>
          <w:rFonts w:ascii="Times New Roman" w:hAnsi="Times New Roman"/>
          <w:b/>
          <w:color w:val="000000" w:themeColor="text1"/>
          <w:sz w:val="24"/>
          <w:szCs w:val="24"/>
        </w:rPr>
        <w:t>Supporto ad ISPRA nella redazione del volume di raccolta delle schede di monitoraggio</w:t>
      </w:r>
      <w:r w:rsidRPr="006C7E8B">
        <w:rPr>
          <w:rFonts w:ascii="Times New Roman" w:hAnsi="Times New Roman"/>
          <w:sz w:val="24"/>
          <w:szCs w:val="24"/>
        </w:rPr>
        <w:t xml:space="preserve">. </w:t>
      </w:r>
      <w:r w:rsidR="003547B5" w:rsidRPr="006C7E8B">
        <w:rPr>
          <w:rFonts w:ascii="Times New Roman" w:hAnsi="Times New Roman"/>
          <w:sz w:val="24"/>
          <w:szCs w:val="24"/>
        </w:rPr>
        <w:t>Stesura dei testi illustrativi, revisione delle bozze e raccolta ed elaborazione della documentazione fotografica e grafica</w:t>
      </w:r>
    </w:p>
    <w:p w:rsidR="003547B5" w:rsidRPr="006C7E8B" w:rsidRDefault="00CD68A0" w:rsidP="00CD68A0">
      <w:pPr>
        <w:pStyle w:val="oggetto"/>
        <w:numPr>
          <w:ilvl w:val="0"/>
          <w:numId w:val="2"/>
        </w:numPr>
        <w:spacing w:before="120"/>
        <w:rPr>
          <w:rFonts w:ascii="Times New Roman" w:hAnsi="Times New Roman"/>
          <w:sz w:val="24"/>
          <w:szCs w:val="24"/>
        </w:rPr>
      </w:pPr>
      <w:r w:rsidRPr="006C7E8B">
        <w:rPr>
          <w:rFonts w:ascii="Times New Roman" w:hAnsi="Times New Roman"/>
          <w:b/>
          <w:sz w:val="24"/>
          <w:szCs w:val="24"/>
        </w:rPr>
        <w:t>Partecipazione alla “Giornata nazionale finale”</w:t>
      </w:r>
      <w:r w:rsidRPr="006C7E8B">
        <w:rPr>
          <w:rFonts w:ascii="Times New Roman" w:hAnsi="Times New Roman"/>
          <w:sz w:val="24"/>
          <w:szCs w:val="24"/>
        </w:rPr>
        <w:t xml:space="preserve"> organizzata da ISPRA (Roma, data prevista: aprile 2016) durante la quale saranno presentati i risultati del lavoro, verranno distribuite le copie del volume ed illustrate le modalità di accesso on-line alla documentazione.</w:t>
      </w:r>
    </w:p>
    <w:p w:rsidR="004B653E" w:rsidRPr="006C7E8B" w:rsidRDefault="004B653E">
      <w:pPr>
        <w:pStyle w:val="oggetto"/>
        <w:spacing w:before="120"/>
        <w:rPr>
          <w:rFonts w:ascii="Times New Roman" w:hAnsi="Times New Roman"/>
          <w:sz w:val="24"/>
          <w:szCs w:val="24"/>
        </w:rPr>
      </w:pPr>
    </w:p>
    <w:p w:rsidR="00014984" w:rsidRPr="006C7E8B" w:rsidRDefault="00014984" w:rsidP="00014984">
      <w:pPr>
        <w:rPr>
          <w:rFonts w:ascii="Times New Roman" w:hAnsi="Times New Roman" w:cs="Times New Roman"/>
          <w:sz w:val="24"/>
          <w:szCs w:val="24"/>
        </w:rPr>
      </w:pPr>
      <w:r w:rsidRPr="006C7E8B">
        <w:rPr>
          <w:rFonts w:ascii="Times New Roman" w:hAnsi="Times New Roman" w:cs="Times New Roman"/>
          <w:sz w:val="24"/>
          <w:szCs w:val="24"/>
        </w:rPr>
        <w:t xml:space="preserve">TEMPI </w:t>
      </w:r>
      <w:proofErr w:type="spellStart"/>
      <w:r w:rsidRPr="006C7E8B">
        <w:rPr>
          <w:rFonts w:ascii="Times New Roman" w:hAnsi="Times New Roman" w:cs="Times New Roman"/>
          <w:sz w:val="24"/>
          <w:szCs w:val="24"/>
        </w:rPr>
        <w:t>DI</w:t>
      </w:r>
      <w:proofErr w:type="spellEnd"/>
      <w:r w:rsidRPr="006C7E8B">
        <w:rPr>
          <w:rFonts w:ascii="Times New Roman" w:hAnsi="Times New Roman" w:cs="Times New Roman"/>
          <w:sz w:val="24"/>
          <w:szCs w:val="24"/>
        </w:rPr>
        <w:t xml:space="preserve"> CONSEGNA DEL SERVIZIO</w:t>
      </w:r>
    </w:p>
    <w:tbl>
      <w:tblPr>
        <w:tblStyle w:val="Grigliatabella"/>
        <w:tblW w:w="9747" w:type="dxa"/>
        <w:tblLook w:val="04A0"/>
      </w:tblPr>
      <w:tblGrid>
        <w:gridCol w:w="406"/>
        <w:gridCol w:w="5939"/>
        <w:gridCol w:w="3402"/>
      </w:tblGrid>
      <w:tr w:rsidR="00014984" w:rsidRPr="006C7E8B" w:rsidTr="00014984">
        <w:trPr>
          <w:trHeight w:val="355"/>
        </w:trPr>
        <w:tc>
          <w:tcPr>
            <w:tcW w:w="406" w:type="dxa"/>
            <w:tcBorders>
              <w:top w:val="single" w:sz="4" w:space="0" w:color="auto"/>
              <w:left w:val="single" w:sz="4" w:space="0" w:color="auto"/>
              <w:bottom w:val="single" w:sz="4" w:space="0" w:color="auto"/>
              <w:right w:val="single" w:sz="4" w:space="0" w:color="auto"/>
            </w:tcBorders>
          </w:tcPr>
          <w:p w:rsidR="00014984" w:rsidRPr="006C7E8B" w:rsidRDefault="00014984">
            <w:pPr>
              <w:rPr>
                <w:b/>
                <w:caps/>
              </w:rPr>
            </w:pPr>
          </w:p>
        </w:tc>
        <w:tc>
          <w:tcPr>
            <w:tcW w:w="5939" w:type="dxa"/>
            <w:tcBorders>
              <w:top w:val="single" w:sz="4" w:space="0" w:color="auto"/>
              <w:left w:val="single" w:sz="4" w:space="0" w:color="auto"/>
              <w:bottom w:val="single" w:sz="4" w:space="0" w:color="auto"/>
              <w:right w:val="single" w:sz="4" w:space="0" w:color="auto"/>
            </w:tcBorders>
            <w:hideMark/>
          </w:tcPr>
          <w:p w:rsidR="00014984" w:rsidRPr="006C7E8B" w:rsidRDefault="00014984">
            <w:pPr>
              <w:rPr>
                <w:b/>
                <w:caps/>
              </w:rPr>
            </w:pPr>
            <w:r w:rsidRPr="006C7E8B">
              <w:rPr>
                <w:b/>
                <w:caps/>
              </w:rPr>
              <w:t>Attività</w:t>
            </w:r>
          </w:p>
        </w:tc>
        <w:tc>
          <w:tcPr>
            <w:tcW w:w="3402" w:type="dxa"/>
            <w:tcBorders>
              <w:top w:val="single" w:sz="4" w:space="0" w:color="auto"/>
              <w:left w:val="single" w:sz="4" w:space="0" w:color="auto"/>
              <w:bottom w:val="single" w:sz="4" w:space="0" w:color="auto"/>
              <w:right w:val="single" w:sz="4" w:space="0" w:color="auto"/>
            </w:tcBorders>
            <w:hideMark/>
          </w:tcPr>
          <w:p w:rsidR="00014984" w:rsidRPr="006C7E8B" w:rsidRDefault="00014984">
            <w:pPr>
              <w:jc w:val="center"/>
              <w:rPr>
                <w:b/>
                <w:caps/>
              </w:rPr>
            </w:pPr>
            <w:r w:rsidRPr="006C7E8B">
              <w:rPr>
                <w:b/>
                <w:caps/>
              </w:rPr>
              <w:t>TempiSTICA dell’INCARICO</w:t>
            </w:r>
          </w:p>
        </w:tc>
      </w:tr>
      <w:tr w:rsidR="0029431B" w:rsidRPr="006C7E8B" w:rsidTr="00014984">
        <w:tc>
          <w:tcPr>
            <w:tcW w:w="406" w:type="dxa"/>
            <w:tcBorders>
              <w:top w:val="single" w:sz="4" w:space="0" w:color="auto"/>
              <w:left w:val="single" w:sz="4" w:space="0" w:color="auto"/>
              <w:bottom w:val="single" w:sz="4" w:space="0" w:color="auto"/>
              <w:right w:val="single" w:sz="4" w:space="0" w:color="auto"/>
            </w:tcBorders>
            <w:hideMark/>
          </w:tcPr>
          <w:p w:rsidR="0029431B" w:rsidRPr="006C7E8B" w:rsidRDefault="0029431B">
            <w:r w:rsidRPr="006C7E8B">
              <w:t>a</w:t>
            </w:r>
          </w:p>
        </w:tc>
        <w:tc>
          <w:tcPr>
            <w:tcW w:w="5939" w:type="dxa"/>
            <w:tcBorders>
              <w:top w:val="single" w:sz="4" w:space="0" w:color="auto"/>
              <w:left w:val="single" w:sz="4" w:space="0" w:color="auto"/>
              <w:bottom w:val="single" w:sz="4" w:space="0" w:color="auto"/>
              <w:right w:val="single" w:sz="4" w:space="0" w:color="auto"/>
            </w:tcBorders>
            <w:hideMark/>
          </w:tcPr>
          <w:p w:rsidR="0029431B" w:rsidRPr="006C7E8B" w:rsidRDefault="0029431B" w:rsidP="001551D5">
            <w:r w:rsidRPr="006C7E8B">
              <w:rPr>
                <w:b/>
              </w:rPr>
              <w:t xml:space="preserve">Supporto alla predisposizione delle schede di monitoraggio </w:t>
            </w:r>
          </w:p>
        </w:tc>
        <w:tc>
          <w:tcPr>
            <w:tcW w:w="3402" w:type="dxa"/>
            <w:tcBorders>
              <w:top w:val="single" w:sz="4" w:space="0" w:color="auto"/>
              <w:left w:val="single" w:sz="4" w:space="0" w:color="auto"/>
              <w:bottom w:val="single" w:sz="4" w:space="0" w:color="auto"/>
              <w:right w:val="single" w:sz="4" w:space="0" w:color="auto"/>
            </w:tcBorders>
          </w:tcPr>
          <w:p w:rsidR="0029431B" w:rsidRPr="006C7E8B" w:rsidRDefault="0029431B">
            <w:pPr>
              <w:jc w:val="center"/>
            </w:pPr>
          </w:p>
        </w:tc>
      </w:tr>
      <w:tr w:rsidR="0029431B" w:rsidRPr="006C7E8B" w:rsidTr="00014984">
        <w:tc>
          <w:tcPr>
            <w:tcW w:w="406" w:type="dxa"/>
            <w:tcBorders>
              <w:top w:val="single" w:sz="4" w:space="0" w:color="auto"/>
              <w:left w:val="single" w:sz="4" w:space="0" w:color="auto"/>
              <w:bottom w:val="single" w:sz="4" w:space="0" w:color="auto"/>
              <w:right w:val="single" w:sz="4" w:space="0" w:color="auto"/>
            </w:tcBorders>
            <w:hideMark/>
          </w:tcPr>
          <w:p w:rsidR="0029431B" w:rsidRPr="006C7E8B" w:rsidRDefault="0029431B">
            <w:r w:rsidRPr="006C7E8B">
              <w:t>b</w:t>
            </w:r>
          </w:p>
        </w:tc>
        <w:tc>
          <w:tcPr>
            <w:tcW w:w="5939" w:type="dxa"/>
            <w:tcBorders>
              <w:top w:val="single" w:sz="4" w:space="0" w:color="auto"/>
              <w:left w:val="single" w:sz="4" w:space="0" w:color="auto"/>
              <w:bottom w:val="single" w:sz="4" w:space="0" w:color="auto"/>
              <w:right w:val="single" w:sz="4" w:space="0" w:color="auto"/>
            </w:tcBorders>
            <w:hideMark/>
          </w:tcPr>
          <w:p w:rsidR="0029431B" w:rsidRPr="006C7E8B" w:rsidRDefault="0029431B" w:rsidP="001551D5">
            <w:r w:rsidRPr="006C7E8B">
              <w:rPr>
                <w:b/>
              </w:rPr>
              <w:t>Supporto all’analisi dei casi di potenziale “insufficienza”</w:t>
            </w:r>
          </w:p>
        </w:tc>
        <w:tc>
          <w:tcPr>
            <w:tcW w:w="3402" w:type="dxa"/>
            <w:tcBorders>
              <w:top w:val="single" w:sz="4" w:space="0" w:color="auto"/>
              <w:left w:val="single" w:sz="4" w:space="0" w:color="auto"/>
              <w:bottom w:val="single" w:sz="4" w:space="0" w:color="auto"/>
              <w:right w:val="single" w:sz="4" w:space="0" w:color="auto"/>
            </w:tcBorders>
          </w:tcPr>
          <w:p w:rsidR="0029431B" w:rsidRPr="006C7E8B" w:rsidRDefault="0029431B">
            <w:pPr>
              <w:jc w:val="center"/>
            </w:pPr>
          </w:p>
        </w:tc>
      </w:tr>
      <w:tr w:rsidR="0029431B" w:rsidRPr="006C7E8B" w:rsidTr="00014984">
        <w:tc>
          <w:tcPr>
            <w:tcW w:w="406" w:type="dxa"/>
            <w:tcBorders>
              <w:top w:val="single" w:sz="4" w:space="0" w:color="auto"/>
              <w:left w:val="single" w:sz="4" w:space="0" w:color="auto"/>
              <w:bottom w:val="single" w:sz="4" w:space="0" w:color="auto"/>
              <w:right w:val="single" w:sz="4" w:space="0" w:color="auto"/>
            </w:tcBorders>
            <w:hideMark/>
          </w:tcPr>
          <w:p w:rsidR="0029431B" w:rsidRPr="006C7E8B" w:rsidRDefault="0029431B">
            <w:r w:rsidRPr="006C7E8B">
              <w:t>c</w:t>
            </w:r>
          </w:p>
        </w:tc>
        <w:tc>
          <w:tcPr>
            <w:tcW w:w="5939" w:type="dxa"/>
            <w:tcBorders>
              <w:top w:val="single" w:sz="4" w:space="0" w:color="auto"/>
              <w:left w:val="single" w:sz="4" w:space="0" w:color="auto"/>
              <w:bottom w:val="single" w:sz="4" w:space="0" w:color="auto"/>
              <w:right w:val="single" w:sz="4" w:space="0" w:color="auto"/>
            </w:tcBorders>
            <w:hideMark/>
          </w:tcPr>
          <w:p w:rsidR="0029431B" w:rsidRPr="006C7E8B" w:rsidRDefault="0029431B" w:rsidP="001551D5">
            <w:r w:rsidRPr="006C7E8B">
              <w:rPr>
                <w:b/>
              </w:rPr>
              <w:t xml:space="preserve">Partecipazione e supporto tecnico-scientifico nel Seminario </w:t>
            </w:r>
            <w:proofErr w:type="spellStart"/>
            <w:r w:rsidRPr="006C7E8B">
              <w:rPr>
                <w:b/>
              </w:rPr>
              <w:t>Biogeografico</w:t>
            </w:r>
            <w:proofErr w:type="spellEnd"/>
          </w:p>
        </w:tc>
        <w:tc>
          <w:tcPr>
            <w:tcW w:w="3402" w:type="dxa"/>
            <w:tcBorders>
              <w:top w:val="single" w:sz="4" w:space="0" w:color="auto"/>
              <w:left w:val="single" w:sz="4" w:space="0" w:color="auto"/>
              <w:bottom w:val="single" w:sz="4" w:space="0" w:color="auto"/>
              <w:right w:val="single" w:sz="4" w:space="0" w:color="auto"/>
            </w:tcBorders>
          </w:tcPr>
          <w:p w:rsidR="0029431B" w:rsidRPr="006C7E8B" w:rsidRDefault="0029431B" w:rsidP="0029431B">
            <w:pPr>
              <w:jc w:val="center"/>
            </w:pPr>
            <w:r w:rsidRPr="006C7E8B">
              <w:t>Entro 10 OTTOBRE 2015</w:t>
            </w:r>
          </w:p>
          <w:p w:rsidR="0029431B" w:rsidRPr="006C7E8B" w:rsidRDefault="0029431B" w:rsidP="0029431B">
            <w:pPr>
              <w:jc w:val="center"/>
            </w:pPr>
            <w:r w:rsidRPr="006C7E8B">
              <w:t>Completamento delle attività di cui ai punti a-b-c</w:t>
            </w:r>
          </w:p>
        </w:tc>
      </w:tr>
      <w:tr w:rsidR="0029431B" w:rsidRPr="006C7E8B" w:rsidTr="00014984">
        <w:tc>
          <w:tcPr>
            <w:tcW w:w="406" w:type="dxa"/>
            <w:tcBorders>
              <w:top w:val="single" w:sz="4" w:space="0" w:color="auto"/>
              <w:left w:val="single" w:sz="4" w:space="0" w:color="auto"/>
              <w:bottom w:val="single" w:sz="4" w:space="0" w:color="auto"/>
              <w:right w:val="single" w:sz="4" w:space="0" w:color="auto"/>
            </w:tcBorders>
            <w:hideMark/>
          </w:tcPr>
          <w:p w:rsidR="0029431B" w:rsidRPr="006C7E8B" w:rsidRDefault="0029431B">
            <w:r w:rsidRPr="006C7E8B">
              <w:t>d</w:t>
            </w:r>
          </w:p>
        </w:tc>
        <w:tc>
          <w:tcPr>
            <w:tcW w:w="5939" w:type="dxa"/>
            <w:tcBorders>
              <w:top w:val="single" w:sz="4" w:space="0" w:color="auto"/>
              <w:left w:val="single" w:sz="4" w:space="0" w:color="auto"/>
              <w:bottom w:val="single" w:sz="4" w:space="0" w:color="auto"/>
              <w:right w:val="single" w:sz="4" w:space="0" w:color="auto"/>
            </w:tcBorders>
            <w:hideMark/>
          </w:tcPr>
          <w:p w:rsidR="0029431B" w:rsidRPr="006C7E8B" w:rsidRDefault="0029431B" w:rsidP="001551D5">
            <w:r w:rsidRPr="006C7E8B">
              <w:rPr>
                <w:b/>
              </w:rPr>
              <w:t>Verifica sul campo delle schede di monitoraggio</w:t>
            </w:r>
            <w:r w:rsidRPr="006C7E8B">
              <w:t xml:space="preserve"> </w:t>
            </w:r>
            <w:r w:rsidRPr="006C7E8B">
              <w:rPr>
                <w:b/>
              </w:rPr>
              <w:t>prodotte</w:t>
            </w:r>
          </w:p>
        </w:tc>
        <w:tc>
          <w:tcPr>
            <w:tcW w:w="3402" w:type="dxa"/>
            <w:tcBorders>
              <w:top w:val="single" w:sz="4" w:space="0" w:color="auto"/>
              <w:left w:val="single" w:sz="4" w:space="0" w:color="auto"/>
              <w:bottom w:val="single" w:sz="4" w:space="0" w:color="auto"/>
              <w:right w:val="single" w:sz="4" w:space="0" w:color="auto"/>
            </w:tcBorders>
            <w:hideMark/>
          </w:tcPr>
          <w:p w:rsidR="0029431B" w:rsidRPr="006C7E8B" w:rsidRDefault="0029431B">
            <w:pPr>
              <w:jc w:val="center"/>
            </w:pPr>
          </w:p>
        </w:tc>
      </w:tr>
      <w:tr w:rsidR="0029431B" w:rsidRPr="006C7E8B" w:rsidTr="00014984">
        <w:tc>
          <w:tcPr>
            <w:tcW w:w="406" w:type="dxa"/>
            <w:tcBorders>
              <w:top w:val="single" w:sz="4" w:space="0" w:color="auto"/>
              <w:left w:val="single" w:sz="4" w:space="0" w:color="auto"/>
              <w:bottom w:val="single" w:sz="4" w:space="0" w:color="auto"/>
              <w:right w:val="single" w:sz="4" w:space="0" w:color="auto"/>
            </w:tcBorders>
            <w:hideMark/>
          </w:tcPr>
          <w:p w:rsidR="0029431B" w:rsidRPr="006C7E8B" w:rsidRDefault="0029431B">
            <w:r w:rsidRPr="006C7E8B">
              <w:t>e</w:t>
            </w:r>
          </w:p>
        </w:tc>
        <w:tc>
          <w:tcPr>
            <w:tcW w:w="5939" w:type="dxa"/>
            <w:tcBorders>
              <w:top w:val="single" w:sz="4" w:space="0" w:color="auto"/>
              <w:left w:val="single" w:sz="4" w:space="0" w:color="auto"/>
              <w:bottom w:val="single" w:sz="4" w:space="0" w:color="auto"/>
              <w:right w:val="single" w:sz="4" w:space="0" w:color="auto"/>
            </w:tcBorders>
            <w:hideMark/>
          </w:tcPr>
          <w:p w:rsidR="0029431B" w:rsidRPr="006C7E8B" w:rsidRDefault="00833996" w:rsidP="001551D5">
            <w:r w:rsidRPr="006C7E8B">
              <w:rPr>
                <w:b/>
              </w:rPr>
              <w:t>Supporto ad ISPRA nelle attività relative ai Valori Favorevoli di Riferimento</w:t>
            </w:r>
          </w:p>
        </w:tc>
        <w:tc>
          <w:tcPr>
            <w:tcW w:w="3402" w:type="dxa"/>
            <w:tcBorders>
              <w:top w:val="single" w:sz="4" w:space="0" w:color="auto"/>
              <w:left w:val="single" w:sz="4" w:space="0" w:color="auto"/>
              <w:bottom w:val="single" w:sz="4" w:space="0" w:color="auto"/>
              <w:right w:val="single" w:sz="4" w:space="0" w:color="auto"/>
            </w:tcBorders>
          </w:tcPr>
          <w:p w:rsidR="0029431B" w:rsidRPr="006C7E8B" w:rsidRDefault="0029431B">
            <w:pPr>
              <w:jc w:val="center"/>
            </w:pPr>
          </w:p>
        </w:tc>
      </w:tr>
      <w:tr w:rsidR="0029431B" w:rsidRPr="006C7E8B" w:rsidTr="00014984">
        <w:tc>
          <w:tcPr>
            <w:tcW w:w="406" w:type="dxa"/>
            <w:tcBorders>
              <w:top w:val="single" w:sz="4" w:space="0" w:color="auto"/>
              <w:left w:val="single" w:sz="4" w:space="0" w:color="auto"/>
              <w:bottom w:val="single" w:sz="4" w:space="0" w:color="auto"/>
              <w:right w:val="single" w:sz="4" w:space="0" w:color="auto"/>
            </w:tcBorders>
            <w:hideMark/>
          </w:tcPr>
          <w:p w:rsidR="0029431B" w:rsidRPr="006C7E8B" w:rsidRDefault="0029431B">
            <w:r w:rsidRPr="006C7E8B">
              <w:t>f</w:t>
            </w:r>
          </w:p>
        </w:tc>
        <w:tc>
          <w:tcPr>
            <w:tcW w:w="5939" w:type="dxa"/>
            <w:tcBorders>
              <w:top w:val="single" w:sz="4" w:space="0" w:color="auto"/>
              <w:left w:val="single" w:sz="4" w:space="0" w:color="auto"/>
              <w:bottom w:val="single" w:sz="4" w:space="0" w:color="auto"/>
              <w:right w:val="single" w:sz="4" w:space="0" w:color="auto"/>
            </w:tcBorders>
            <w:hideMark/>
          </w:tcPr>
          <w:p w:rsidR="0029431B" w:rsidRPr="006C7E8B" w:rsidRDefault="00833996" w:rsidP="001551D5">
            <w:pPr>
              <w:rPr>
                <w:b/>
              </w:rPr>
            </w:pPr>
            <w:r w:rsidRPr="006C7E8B">
              <w:rPr>
                <w:b/>
              </w:rPr>
              <w:t>Supporto ad ISPRA per l’elaborazione su base teorica, tramite modelli predittivi, di una metodologia per il calcolo dei VFR</w:t>
            </w:r>
          </w:p>
        </w:tc>
        <w:tc>
          <w:tcPr>
            <w:tcW w:w="3402" w:type="dxa"/>
            <w:tcBorders>
              <w:top w:val="single" w:sz="4" w:space="0" w:color="auto"/>
              <w:left w:val="single" w:sz="4" w:space="0" w:color="auto"/>
              <w:bottom w:val="single" w:sz="4" w:space="0" w:color="auto"/>
              <w:right w:val="single" w:sz="4" w:space="0" w:color="auto"/>
            </w:tcBorders>
          </w:tcPr>
          <w:p w:rsidR="0029431B" w:rsidRPr="006C7E8B" w:rsidRDefault="0029431B">
            <w:pPr>
              <w:jc w:val="center"/>
            </w:pPr>
          </w:p>
        </w:tc>
      </w:tr>
      <w:tr w:rsidR="0029431B" w:rsidRPr="006C7E8B" w:rsidTr="00014984">
        <w:tc>
          <w:tcPr>
            <w:tcW w:w="406" w:type="dxa"/>
            <w:tcBorders>
              <w:top w:val="single" w:sz="4" w:space="0" w:color="auto"/>
              <w:left w:val="single" w:sz="4" w:space="0" w:color="auto"/>
              <w:bottom w:val="single" w:sz="4" w:space="0" w:color="auto"/>
              <w:right w:val="single" w:sz="4" w:space="0" w:color="auto"/>
            </w:tcBorders>
            <w:hideMark/>
          </w:tcPr>
          <w:p w:rsidR="0029431B" w:rsidRPr="006C7E8B" w:rsidRDefault="0029431B">
            <w:r w:rsidRPr="006C7E8B">
              <w:t>g</w:t>
            </w:r>
          </w:p>
        </w:tc>
        <w:tc>
          <w:tcPr>
            <w:tcW w:w="5939" w:type="dxa"/>
            <w:tcBorders>
              <w:top w:val="single" w:sz="4" w:space="0" w:color="auto"/>
              <w:left w:val="single" w:sz="4" w:space="0" w:color="auto"/>
              <w:bottom w:val="single" w:sz="4" w:space="0" w:color="auto"/>
              <w:right w:val="single" w:sz="4" w:space="0" w:color="auto"/>
            </w:tcBorders>
            <w:hideMark/>
          </w:tcPr>
          <w:p w:rsidR="0029431B" w:rsidRPr="006C7E8B" w:rsidRDefault="0029431B" w:rsidP="001551D5">
            <w:pPr>
              <w:rPr>
                <w:b/>
              </w:rPr>
            </w:pPr>
            <w:r w:rsidRPr="006C7E8B">
              <w:rPr>
                <w:b/>
              </w:rPr>
              <w:t>Supporto ad ISPRA nella redazione del volume di raccolta delle schede</w:t>
            </w:r>
            <w:r w:rsidR="00833996" w:rsidRPr="006C7E8B">
              <w:rPr>
                <w:b/>
              </w:rPr>
              <w:t xml:space="preserve"> di monitoraggio</w:t>
            </w:r>
          </w:p>
        </w:tc>
        <w:tc>
          <w:tcPr>
            <w:tcW w:w="3402" w:type="dxa"/>
            <w:tcBorders>
              <w:top w:val="single" w:sz="4" w:space="0" w:color="auto"/>
              <w:left w:val="single" w:sz="4" w:space="0" w:color="auto"/>
              <w:bottom w:val="single" w:sz="4" w:space="0" w:color="auto"/>
              <w:right w:val="single" w:sz="4" w:space="0" w:color="auto"/>
            </w:tcBorders>
          </w:tcPr>
          <w:p w:rsidR="0029431B" w:rsidRPr="006C7E8B" w:rsidRDefault="0029431B">
            <w:pPr>
              <w:jc w:val="center"/>
            </w:pPr>
          </w:p>
        </w:tc>
      </w:tr>
      <w:tr w:rsidR="0029431B" w:rsidRPr="006C7E8B" w:rsidTr="00014984">
        <w:tc>
          <w:tcPr>
            <w:tcW w:w="406" w:type="dxa"/>
            <w:tcBorders>
              <w:top w:val="single" w:sz="4" w:space="0" w:color="auto"/>
              <w:left w:val="single" w:sz="4" w:space="0" w:color="auto"/>
              <w:bottom w:val="single" w:sz="4" w:space="0" w:color="auto"/>
              <w:right w:val="single" w:sz="4" w:space="0" w:color="auto"/>
            </w:tcBorders>
            <w:hideMark/>
          </w:tcPr>
          <w:p w:rsidR="0029431B" w:rsidRPr="006C7E8B" w:rsidRDefault="0029431B">
            <w:r w:rsidRPr="006C7E8B">
              <w:t>h</w:t>
            </w:r>
          </w:p>
        </w:tc>
        <w:tc>
          <w:tcPr>
            <w:tcW w:w="5939" w:type="dxa"/>
            <w:tcBorders>
              <w:top w:val="single" w:sz="4" w:space="0" w:color="auto"/>
              <w:left w:val="single" w:sz="4" w:space="0" w:color="auto"/>
              <w:bottom w:val="single" w:sz="4" w:space="0" w:color="auto"/>
              <w:right w:val="single" w:sz="4" w:space="0" w:color="auto"/>
            </w:tcBorders>
            <w:hideMark/>
          </w:tcPr>
          <w:p w:rsidR="0029431B" w:rsidRPr="006C7E8B" w:rsidRDefault="0029431B" w:rsidP="001551D5">
            <w:pPr>
              <w:rPr>
                <w:b/>
              </w:rPr>
            </w:pPr>
            <w:r w:rsidRPr="006C7E8B">
              <w:rPr>
                <w:b/>
              </w:rPr>
              <w:t>Partecipazione alla Giornata nazionale finale</w:t>
            </w:r>
          </w:p>
        </w:tc>
        <w:tc>
          <w:tcPr>
            <w:tcW w:w="3402" w:type="dxa"/>
            <w:tcBorders>
              <w:top w:val="single" w:sz="4" w:space="0" w:color="auto"/>
              <w:left w:val="single" w:sz="4" w:space="0" w:color="auto"/>
              <w:bottom w:val="single" w:sz="4" w:space="0" w:color="auto"/>
              <w:right w:val="single" w:sz="4" w:space="0" w:color="auto"/>
            </w:tcBorders>
          </w:tcPr>
          <w:p w:rsidR="006C7E8B" w:rsidRPr="006C7E8B" w:rsidRDefault="006C7E8B" w:rsidP="006C7E8B">
            <w:pPr>
              <w:jc w:val="center"/>
            </w:pPr>
            <w:r w:rsidRPr="006C7E8B">
              <w:t>Entro scadenza convenzione</w:t>
            </w:r>
          </w:p>
          <w:p w:rsidR="0029431B" w:rsidRPr="006C7E8B" w:rsidRDefault="00833996" w:rsidP="00833996">
            <w:pPr>
              <w:jc w:val="center"/>
            </w:pPr>
            <w:r w:rsidRPr="006C7E8B">
              <w:t xml:space="preserve">Completamento delle attività di cui ai punti </w:t>
            </w:r>
            <w:proofErr w:type="spellStart"/>
            <w:r w:rsidRPr="006C7E8B">
              <w:t>d-e-f-g-h</w:t>
            </w:r>
            <w:proofErr w:type="spellEnd"/>
          </w:p>
        </w:tc>
      </w:tr>
    </w:tbl>
    <w:p w:rsidR="00014984" w:rsidRPr="006C7E8B" w:rsidRDefault="00014984" w:rsidP="00014984">
      <w:pPr>
        <w:pStyle w:val="oggetto"/>
        <w:spacing w:before="120"/>
        <w:rPr>
          <w:rFonts w:ascii="Times New Roman" w:hAnsi="Times New Roman"/>
          <w:sz w:val="24"/>
          <w:szCs w:val="24"/>
        </w:rPr>
      </w:pPr>
    </w:p>
    <w:sectPr w:rsidR="00014984" w:rsidRPr="006C7E8B" w:rsidSect="00B1337B">
      <w:footerReference w:type="default" r:id="rId8"/>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4F5B" w:rsidRDefault="007F4F5B" w:rsidP="001667C5">
      <w:pPr>
        <w:spacing w:after="0" w:line="240" w:lineRule="auto"/>
      </w:pPr>
      <w:r>
        <w:separator/>
      </w:r>
    </w:p>
  </w:endnote>
  <w:endnote w:type="continuationSeparator" w:id="0">
    <w:p w:rsidR="007F4F5B" w:rsidRDefault="007F4F5B" w:rsidP="001667C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900" w:rsidRPr="00456900" w:rsidRDefault="001667C5">
    <w:pPr>
      <w:pStyle w:val="Pidipagina"/>
      <w:pBdr>
        <w:top w:val="thinThickSmallGap" w:sz="24" w:space="1" w:color="622423" w:themeColor="accent2" w:themeShade="7F"/>
      </w:pBdr>
      <w:rPr>
        <w:rFonts w:asciiTheme="majorHAnsi" w:hAnsiTheme="majorHAnsi"/>
        <w:sz w:val="18"/>
        <w:szCs w:val="18"/>
      </w:rPr>
    </w:pPr>
    <w:r w:rsidRPr="00456900">
      <w:rPr>
        <w:rFonts w:asciiTheme="majorHAnsi" w:hAnsiTheme="majorHAnsi"/>
        <w:sz w:val="18"/>
        <w:szCs w:val="18"/>
      </w:rPr>
      <w:t xml:space="preserve">SEDE LEGALE IN ROMA  00144 VIA VITALIANO BRANCATI, 48 – C.F. E </w:t>
    </w:r>
    <w:proofErr w:type="spellStart"/>
    <w:r w:rsidRPr="00456900">
      <w:rPr>
        <w:rFonts w:asciiTheme="majorHAnsi" w:hAnsiTheme="majorHAnsi"/>
        <w:sz w:val="18"/>
        <w:szCs w:val="18"/>
      </w:rPr>
      <w:t>P.I.V.A.</w:t>
    </w:r>
    <w:proofErr w:type="spellEnd"/>
    <w:r w:rsidRPr="00456900">
      <w:rPr>
        <w:rFonts w:asciiTheme="majorHAnsi" w:hAnsiTheme="majorHAnsi"/>
        <w:sz w:val="18"/>
        <w:szCs w:val="18"/>
      </w:rPr>
      <w:t xml:space="preserve"> 10125211002</w:t>
    </w:r>
    <w:r w:rsidR="00456900" w:rsidRPr="00456900">
      <w:rPr>
        <w:rFonts w:asciiTheme="majorHAnsi" w:hAnsiTheme="majorHAnsi"/>
        <w:sz w:val="18"/>
        <w:szCs w:val="18"/>
      </w:rPr>
      <w:t>- TEL 06/500711</w:t>
    </w:r>
  </w:p>
  <w:p w:rsidR="001667C5" w:rsidRPr="00456900" w:rsidRDefault="00456900">
    <w:pPr>
      <w:pStyle w:val="Pidipagina"/>
      <w:pBdr>
        <w:top w:val="thinThickSmallGap" w:sz="24" w:space="1" w:color="622423" w:themeColor="accent2" w:themeShade="7F"/>
      </w:pBdr>
      <w:rPr>
        <w:rFonts w:asciiTheme="majorHAnsi" w:hAnsiTheme="majorHAnsi"/>
        <w:sz w:val="18"/>
        <w:szCs w:val="18"/>
      </w:rPr>
    </w:pPr>
    <w:r w:rsidRPr="00456900">
      <w:rPr>
        <w:rFonts w:asciiTheme="majorHAnsi" w:hAnsiTheme="majorHAnsi"/>
        <w:sz w:val="18"/>
        <w:szCs w:val="18"/>
      </w:rPr>
      <w:t xml:space="preserve">Sede Amministrativa di OZZANO DELL’EMILIA (BO)  40064 – Via Ca’ </w:t>
    </w:r>
    <w:proofErr w:type="spellStart"/>
    <w:r w:rsidRPr="00456900">
      <w:rPr>
        <w:rFonts w:asciiTheme="majorHAnsi" w:hAnsiTheme="majorHAnsi"/>
        <w:sz w:val="18"/>
        <w:szCs w:val="18"/>
      </w:rPr>
      <w:t>Fornacetta</w:t>
    </w:r>
    <w:proofErr w:type="spellEnd"/>
    <w:r w:rsidRPr="00456900">
      <w:rPr>
        <w:rFonts w:asciiTheme="majorHAnsi" w:hAnsiTheme="majorHAnsi"/>
        <w:sz w:val="18"/>
        <w:szCs w:val="18"/>
      </w:rPr>
      <w:t>, 9 Tel 051/65</w:t>
    </w:r>
    <w:r>
      <w:rPr>
        <w:rFonts w:asciiTheme="majorHAnsi" w:hAnsiTheme="majorHAnsi"/>
        <w:sz w:val="18"/>
        <w:szCs w:val="18"/>
      </w:rPr>
      <w:t xml:space="preserve">12111- Fax 051/796628          </w:t>
    </w:r>
    <w:r w:rsidR="00115518" w:rsidRPr="00456900">
      <w:rPr>
        <w:sz w:val="18"/>
        <w:szCs w:val="18"/>
      </w:rPr>
      <w:fldChar w:fldCharType="begin"/>
    </w:r>
    <w:r w:rsidR="001667C5" w:rsidRPr="00456900">
      <w:rPr>
        <w:sz w:val="18"/>
        <w:szCs w:val="18"/>
      </w:rPr>
      <w:instrText xml:space="preserve"> PAGE   \* MERGEFORMAT </w:instrText>
    </w:r>
    <w:r w:rsidR="00115518" w:rsidRPr="00456900">
      <w:rPr>
        <w:sz w:val="18"/>
        <w:szCs w:val="18"/>
      </w:rPr>
      <w:fldChar w:fldCharType="separate"/>
    </w:r>
    <w:r w:rsidR="00B33734" w:rsidRPr="00B33734">
      <w:rPr>
        <w:rFonts w:asciiTheme="majorHAnsi" w:hAnsiTheme="majorHAnsi"/>
        <w:noProof/>
        <w:sz w:val="18"/>
        <w:szCs w:val="18"/>
      </w:rPr>
      <w:t>2</w:t>
    </w:r>
    <w:r w:rsidR="00115518" w:rsidRPr="00456900">
      <w:rPr>
        <w:sz w:val="18"/>
        <w:szCs w:val="18"/>
      </w:rPr>
      <w:fldChar w:fldCharType="end"/>
    </w:r>
  </w:p>
  <w:p w:rsidR="001667C5" w:rsidRPr="00456900" w:rsidRDefault="001667C5" w:rsidP="00456900">
    <w:pPr>
      <w:pStyle w:val="Pidipagina"/>
      <w:jc w:val="right"/>
      <w:rPr>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4F5B" w:rsidRDefault="007F4F5B" w:rsidP="001667C5">
      <w:pPr>
        <w:spacing w:after="0" w:line="240" w:lineRule="auto"/>
      </w:pPr>
      <w:r>
        <w:separator/>
      </w:r>
    </w:p>
  </w:footnote>
  <w:footnote w:type="continuationSeparator" w:id="0">
    <w:p w:rsidR="007F4F5B" w:rsidRDefault="007F4F5B" w:rsidP="001667C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093DA9"/>
    <w:multiLevelType w:val="hybridMultilevel"/>
    <w:tmpl w:val="6A12D0AA"/>
    <w:lvl w:ilvl="0" w:tplc="04100017">
      <w:start w:val="1"/>
      <w:numFmt w:val="lowerLetter"/>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
    <w:nsid w:val="6E731095"/>
    <w:multiLevelType w:val="hybridMultilevel"/>
    <w:tmpl w:val="94146B58"/>
    <w:lvl w:ilvl="0" w:tplc="6BF65D70">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7844187B"/>
    <w:multiLevelType w:val="hybridMultilevel"/>
    <w:tmpl w:val="B8C6F750"/>
    <w:lvl w:ilvl="0" w:tplc="0410000F">
      <w:start w:val="1"/>
      <w:numFmt w:val="decimal"/>
      <w:lvlText w:val="%1."/>
      <w:lvlJc w:val="left"/>
      <w:pPr>
        <w:ind w:left="720" w:hanging="360"/>
      </w:pPr>
    </w:lvl>
    <w:lvl w:ilvl="1" w:tplc="5E02D04C">
      <w:start w:val="1"/>
      <w:numFmt w:val="lowerLetter"/>
      <w:lvlText w:val="%2)"/>
      <w:lvlJc w:val="left"/>
      <w:pPr>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3">
    <w:nsid w:val="7CCB4E9D"/>
    <w:multiLevelType w:val="hybridMultilevel"/>
    <w:tmpl w:val="6A12D0AA"/>
    <w:lvl w:ilvl="0" w:tplc="04100017">
      <w:start w:val="1"/>
      <w:numFmt w:val="lowerLetter"/>
      <w:lvlText w:val="%1)"/>
      <w:lvlJc w:val="left"/>
      <w:pPr>
        <w:ind w:left="426" w:hanging="360"/>
      </w:pPr>
    </w:lvl>
    <w:lvl w:ilvl="1" w:tplc="04100019">
      <w:start w:val="1"/>
      <w:numFmt w:val="decimal"/>
      <w:lvlText w:val="%2."/>
      <w:lvlJc w:val="left"/>
      <w:pPr>
        <w:tabs>
          <w:tab w:val="num" w:pos="1146"/>
        </w:tabs>
        <w:ind w:left="1146" w:hanging="360"/>
      </w:pPr>
    </w:lvl>
    <w:lvl w:ilvl="2" w:tplc="0410001B">
      <w:start w:val="1"/>
      <w:numFmt w:val="decimal"/>
      <w:lvlText w:val="%3."/>
      <w:lvlJc w:val="left"/>
      <w:pPr>
        <w:tabs>
          <w:tab w:val="num" w:pos="1866"/>
        </w:tabs>
        <w:ind w:left="1866" w:hanging="360"/>
      </w:pPr>
    </w:lvl>
    <w:lvl w:ilvl="3" w:tplc="0410000F">
      <w:start w:val="1"/>
      <w:numFmt w:val="decimal"/>
      <w:lvlText w:val="%4."/>
      <w:lvlJc w:val="left"/>
      <w:pPr>
        <w:tabs>
          <w:tab w:val="num" w:pos="2586"/>
        </w:tabs>
        <w:ind w:left="2586" w:hanging="360"/>
      </w:pPr>
    </w:lvl>
    <w:lvl w:ilvl="4" w:tplc="04100019">
      <w:start w:val="1"/>
      <w:numFmt w:val="decimal"/>
      <w:lvlText w:val="%5."/>
      <w:lvlJc w:val="left"/>
      <w:pPr>
        <w:tabs>
          <w:tab w:val="num" w:pos="3306"/>
        </w:tabs>
        <w:ind w:left="3306" w:hanging="360"/>
      </w:pPr>
    </w:lvl>
    <w:lvl w:ilvl="5" w:tplc="0410001B">
      <w:start w:val="1"/>
      <w:numFmt w:val="decimal"/>
      <w:lvlText w:val="%6."/>
      <w:lvlJc w:val="left"/>
      <w:pPr>
        <w:tabs>
          <w:tab w:val="num" w:pos="4026"/>
        </w:tabs>
        <w:ind w:left="4026" w:hanging="360"/>
      </w:pPr>
    </w:lvl>
    <w:lvl w:ilvl="6" w:tplc="0410000F">
      <w:start w:val="1"/>
      <w:numFmt w:val="decimal"/>
      <w:lvlText w:val="%7."/>
      <w:lvlJc w:val="left"/>
      <w:pPr>
        <w:tabs>
          <w:tab w:val="num" w:pos="4746"/>
        </w:tabs>
        <w:ind w:left="4746" w:hanging="360"/>
      </w:pPr>
    </w:lvl>
    <w:lvl w:ilvl="7" w:tplc="04100019">
      <w:start w:val="1"/>
      <w:numFmt w:val="decimal"/>
      <w:lvlText w:val="%8."/>
      <w:lvlJc w:val="left"/>
      <w:pPr>
        <w:tabs>
          <w:tab w:val="num" w:pos="5466"/>
        </w:tabs>
        <w:ind w:left="5466" w:hanging="360"/>
      </w:pPr>
    </w:lvl>
    <w:lvl w:ilvl="8" w:tplc="0410001B">
      <w:start w:val="1"/>
      <w:numFmt w:val="decimal"/>
      <w:lvlText w:val="%9."/>
      <w:lvlJc w:val="left"/>
      <w:pPr>
        <w:tabs>
          <w:tab w:val="num" w:pos="6186"/>
        </w:tabs>
        <w:ind w:left="6186"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footnotePr>
    <w:footnote w:id="-1"/>
    <w:footnote w:id="0"/>
  </w:footnotePr>
  <w:endnotePr>
    <w:endnote w:id="-1"/>
    <w:endnote w:id="0"/>
  </w:endnotePr>
  <w:compat/>
  <w:rsids>
    <w:rsidRoot w:val="00A90075"/>
    <w:rsid w:val="00014984"/>
    <w:rsid w:val="00051CA9"/>
    <w:rsid w:val="00115518"/>
    <w:rsid w:val="00136411"/>
    <w:rsid w:val="00156490"/>
    <w:rsid w:val="001667C5"/>
    <w:rsid w:val="001D714A"/>
    <w:rsid w:val="00205736"/>
    <w:rsid w:val="00245E4E"/>
    <w:rsid w:val="00270DBA"/>
    <w:rsid w:val="00273FA9"/>
    <w:rsid w:val="0029431B"/>
    <w:rsid w:val="00302B8A"/>
    <w:rsid w:val="00334527"/>
    <w:rsid w:val="003547B5"/>
    <w:rsid w:val="003D6D93"/>
    <w:rsid w:val="003E0534"/>
    <w:rsid w:val="00456900"/>
    <w:rsid w:val="0047105A"/>
    <w:rsid w:val="004870E2"/>
    <w:rsid w:val="004B653E"/>
    <w:rsid w:val="00505010"/>
    <w:rsid w:val="0054495C"/>
    <w:rsid w:val="0057234B"/>
    <w:rsid w:val="005C3E13"/>
    <w:rsid w:val="005F0A01"/>
    <w:rsid w:val="006256F1"/>
    <w:rsid w:val="006962E8"/>
    <w:rsid w:val="006C7E8B"/>
    <w:rsid w:val="006D55F9"/>
    <w:rsid w:val="006D67DA"/>
    <w:rsid w:val="0071743D"/>
    <w:rsid w:val="00721307"/>
    <w:rsid w:val="007431C1"/>
    <w:rsid w:val="007C65B1"/>
    <w:rsid w:val="007F4F5B"/>
    <w:rsid w:val="008164D7"/>
    <w:rsid w:val="0081691A"/>
    <w:rsid w:val="00826803"/>
    <w:rsid w:val="00833996"/>
    <w:rsid w:val="0087387F"/>
    <w:rsid w:val="008A2FFF"/>
    <w:rsid w:val="008B3815"/>
    <w:rsid w:val="008E12CF"/>
    <w:rsid w:val="009420A3"/>
    <w:rsid w:val="009D3F25"/>
    <w:rsid w:val="009F1439"/>
    <w:rsid w:val="009F1F05"/>
    <w:rsid w:val="00A4039F"/>
    <w:rsid w:val="00A45FF2"/>
    <w:rsid w:val="00A664D5"/>
    <w:rsid w:val="00A90075"/>
    <w:rsid w:val="00AC1C62"/>
    <w:rsid w:val="00B1337B"/>
    <w:rsid w:val="00B33734"/>
    <w:rsid w:val="00B84CA3"/>
    <w:rsid w:val="00C354E8"/>
    <w:rsid w:val="00CD68A0"/>
    <w:rsid w:val="00D07B89"/>
    <w:rsid w:val="00D12AF8"/>
    <w:rsid w:val="00DA6042"/>
    <w:rsid w:val="00E066EF"/>
    <w:rsid w:val="00E35882"/>
    <w:rsid w:val="00EE6074"/>
    <w:rsid w:val="00F02000"/>
    <w:rsid w:val="00F9570C"/>
    <w:rsid w:val="00FF56E1"/>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1337B"/>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A9007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90075"/>
    <w:rPr>
      <w:rFonts w:ascii="Tahoma" w:hAnsi="Tahoma" w:cs="Tahoma"/>
      <w:sz w:val="16"/>
      <w:szCs w:val="16"/>
    </w:rPr>
  </w:style>
  <w:style w:type="paragraph" w:styleId="Intestazione">
    <w:name w:val="header"/>
    <w:basedOn w:val="Normale"/>
    <w:link w:val="IntestazioneCarattere"/>
    <w:uiPriority w:val="99"/>
    <w:semiHidden/>
    <w:unhideWhenUsed/>
    <w:rsid w:val="001667C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1667C5"/>
  </w:style>
  <w:style w:type="paragraph" w:styleId="Pidipagina">
    <w:name w:val="footer"/>
    <w:basedOn w:val="Normale"/>
    <w:link w:val="PidipaginaCarattere"/>
    <w:uiPriority w:val="99"/>
    <w:unhideWhenUsed/>
    <w:rsid w:val="001667C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667C5"/>
  </w:style>
  <w:style w:type="paragraph" w:styleId="Sottotitolo">
    <w:name w:val="Subtitle"/>
    <w:basedOn w:val="Normale"/>
    <w:link w:val="SottotitoloCarattere"/>
    <w:qFormat/>
    <w:rsid w:val="0054495C"/>
    <w:pPr>
      <w:spacing w:after="0" w:line="240" w:lineRule="auto"/>
      <w:jc w:val="both"/>
    </w:pPr>
    <w:rPr>
      <w:rFonts w:ascii="Times New Roman" w:eastAsia="Times New Roman" w:hAnsi="Times New Roman" w:cs="Times New Roman"/>
      <w:b/>
      <w:bCs/>
      <w:sz w:val="24"/>
      <w:szCs w:val="24"/>
      <w:lang w:eastAsia="it-IT"/>
    </w:rPr>
  </w:style>
  <w:style w:type="character" w:customStyle="1" w:styleId="SottotitoloCarattere">
    <w:name w:val="Sottotitolo Carattere"/>
    <w:basedOn w:val="Carpredefinitoparagrafo"/>
    <w:link w:val="Sottotitolo"/>
    <w:rsid w:val="0054495C"/>
    <w:rPr>
      <w:rFonts w:ascii="Times New Roman" w:eastAsia="Times New Roman" w:hAnsi="Times New Roman" w:cs="Times New Roman"/>
      <w:b/>
      <w:bCs/>
      <w:sz w:val="24"/>
      <w:szCs w:val="24"/>
      <w:lang w:eastAsia="it-IT"/>
    </w:rPr>
  </w:style>
  <w:style w:type="paragraph" w:styleId="Paragrafoelenco">
    <w:name w:val="List Paragraph"/>
    <w:basedOn w:val="Normale"/>
    <w:uiPriority w:val="34"/>
    <w:qFormat/>
    <w:rsid w:val="00DA6042"/>
    <w:pPr>
      <w:ind w:left="720"/>
      <w:contextualSpacing/>
    </w:pPr>
    <w:rPr>
      <w:rFonts w:ascii="Calibri" w:eastAsia="Calibri" w:hAnsi="Calibri" w:cs="Times New Roman"/>
    </w:rPr>
  </w:style>
  <w:style w:type="paragraph" w:customStyle="1" w:styleId="oggetto">
    <w:name w:val="oggetto"/>
    <w:rsid w:val="00DA6042"/>
    <w:pPr>
      <w:keepLines/>
      <w:spacing w:after="0" w:line="240" w:lineRule="auto"/>
      <w:ind w:left="567"/>
      <w:jc w:val="both"/>
    </w:pPr>
    <w:rPr>
      <w:rFonts w:ascii="Bookman" w:eastAsia="Times New Roman" w:hAnsi="Bookman" w:cs="Times New Roman"/>
      <w:szCs w:val="20"/>
      <w:lang w:eastAsia="it-IT"/>
    </w:rPr>
  </w:style>
  <w:style w:type="table" w:styleId="Grigliatabella">
    <w:name w:val="Table Grid"/>
    <w:basedOn w:val="Tabellanormale"/>
    <w:uiPriority w:val="59"/>
    <w:rsid w:val="00DA6042"/>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ientrocorpodeltesto">
    <w:name w:val="Body Text Indent"/>
    <w:basedOn w:val="Normale"/>
    <w:link w:val="RientrocorpodeltestoCarattere"/>
    <w:uiPriority w:val="99"/>
    <w:semiHidden/>
    <w:unhideWhenUsed/>
    <w:rsid w:val="00245E4E"/>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245E4E"/>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33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900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0075"/>
    <w:rPr>
      <w:rFonts w:ascii="Tahoma" w:hAnsi="Tahoma" w:cs="Tahoma"/>
      <w:sz w:val="16"/>
      <w:szCs w:val="16"/>
    </w:rPr>
  </w:style>
  <w:style w:type="paragraph" w:styleId="Header">
    <w:name w:val="header"/>
    <w:basedOn w:val="Normal"/>
    <w:link w:val="HeaderChar"/>
    <w:uiPriority w:val="99"/>
    <w:semiHidden/>
    <w:unhideWhenUsed/>
    <w:rsid w:val="001667C5"/>
    <w:pPr>
      <w:tabs>
        <w:tab w:val="center" w:pos="4819"/>
        <w:tab w:val="right" w:pos="9638"/>
      </w:tabs>
      <w:spacing w:after="0" w:line="240" w:lineRule="auto"/>
    </w:pPr>
  </w:style>
  <w:style w:type="character" w:customStyle="1" w:styleId="HeaderChar">
    <w:name w:val="Header Char"/>
    <w:basedOn w:val="DefaultParagraphFont"/>
    <w:link w:val="Header"/>
    <w:uiPriority w:val="99"/>
    <w:semiHidden/>
    <w:rsid w:val="001667C5"/>
  </w:style>
  <w:style w:type="paragraph" w:styleId="Footer">
    <w:name w:val="footer"/>
    <w:basedOn w:val="Normal"/>
    <w:link w:val="FooterChar"/>
    <w:uiPriority w:val="99"/>
    <w:unhideWhenUsed/>
    <w:rsid w:val="001667C5"/>
    <w:pPr>
      <w:tabs>
        <w:tab w:val="center" w:pos="4819"/>
        <w:tab w:val="right" w:pos="9638"/>
      </w:tabs>
      <w:spacing w:after="0" w:line="240" w:lineRule="auto"/>
    </w:pPr>
  </w:style>
  <w:style w:type="character" w:customStyle="1" w:styleId="FooterChar">
    <w:name w:val="Footer Char"/>
    <w:basedOn w:val="DefaultParagraphFont"/>
    <w:link w:val="Footer"/>
    <w:uiPriority w:val="99"/>
    <w:rsid w:val="001667C5"/>
  </w:style>
  <w:style w:type="paragraph" w:styleId="Subtitle">
    <w:name w:val="Subtitle"/>
    <w:basedOn w:val="Normal"/>
    <w:link w:val="SubtitleChar"/>
    <w:qFormat/>
    <w:rsid w:val="0054495C"/>
    <w:pPr>
      <w:spacing w:after="0" w:line="240" w:lineRule="auto"/>
      <w:jc w:val="both"/>
    </w:pPr>
    <w:rPr>
      <w:rFonts w:ascii="Times New Roman" w:eastAsia="Times New Roman" w:hAnsi="Times New Roman" w:cs="Times New Roman"/>
      <w:b/>
      <w:bCs/>
      <w:sz w:val="24"/>
      <w:szCs w:val="24"/>
      <w:lang w:eastAsia="it-IT"/>
    </w:rPr>
  </w:style>
  <w:style w:type="character" w:customStyle="1" w:styleId="SubtitleChar">
    <w:name w:val="Subtitle Char"/>
    <w:basedOn w:val="DefaultParagraphFont"/>
    <w:link w:val="Subtitle"/>
    <w:rsid w:val="0054495C"/>
    <w:rPr>
      <w:rFonts w:ascii="Times New Roman" w:eastAsia="Times New Roman" w:hAnsi="Times New Roman" w:cs="Times New Roman"/>
      <w:b/>
      <w:bCs/>
      <w:sz w:val="24"/>
      <w:szCs w:val="24"/>
      <w:lang w:eastAsia="it-IT"/>
    </w:rPr>
  </w:style>
  <w:style w:type="paragraph" w:styleId="ListParagraph">
    <w:name w:val="List Paragraph"/>
    <w:basedOn w:val="Normal"/>
    <w:uiPriority w:val="34"/>
    <w:qFormat/>
    <w:rsid w:val="00DA6042"/>
    <w:pPr>
      <w:ind w:left="720"/>
      <w:contextualSpacing/>
    </w:pPr>
    <w:rPr>
      <w:rFonts w:ascii="Calibri" w:eastAsia="Calibri" w:hAnsi="Calibri" w:cs="Times New Roman"/>
    </w:rPr>
  </w:style>
  <w:style w:type="paragraph" w:customStyle="1" w:styleId="oggetto">
    <w:name w:val="oggetto"/>
    <w:rsid w:val="00DA6042"/>
    <w:pPr>
      <w:keepLines/>
      <w:spacing w:after="0" w:line="240" w:lineRule="auto"/>
      <w:ind w:left="567"/>
      <w:jc w:val="both"/>
    </w:pPr>
    <w:rPr>
      <w:rFonts w:ascii="Bookman" w:eastAsia="Times New Roman" w:hAnsi="Bookman" w:cs="Times New Roman"/>
      <w:szCs w:val="20"/>
      <w:lang w:eastAsia="it-IT"/>
    </w:rPr>
  </w:style>
  <w:style w:type="table" w:styleId="TableGrid">
    <w:name w:val="Table Grid"/>
    <w:basedOn w:val="TableNormal"/>
    <w:uiPriority w:val="59"/>
    <w:rsid w:val="00DA6042"/>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semiHidden/>
    <w:unhideWhenUsed/>
    <w:rsid w:val="00245E4E"/>
    <w:pPr>
      <w:spacing w:after="120"/>
      <w:ind w:left="283"/>
    </w:pPr>
  </w:style>
  <w:style w:type="character" w:customStyle="1" w:styleId="BodyTextIndentChar">
    <w:name w:val="Body Text Indent Char"/>
    <w:basedOn w:val="DefaultParagraphFont"/>
    <w:link w:val="BodyTextIndent"/>
    <w:uiPriority w:val="99"/>
    <w:semiHidden/>
    <w:rsid w:val="00245E4E"/>
  </w:style>
</w:styles>
</file>

<file path=word/webSettings.xml><?xml version="1.0" encoding="utf-8"?>
<w:webSettings xmlns:r="http://schemas.openxmlformats.org/officeDocument/2006/relationships" xmlns:w="http://schemas.openxmlformats.org/wordprocessingml/2006/main">
  <w:divs>
    <w:div w:id="167410649">
      <w:bodyDiv w:val="1"/>
      <w:marLeft w:val="0"/>
      <w:marRight w:val="0"/>
      <w:marTop w:val="0"/>
      <w:marBottom w:val="0"/>
      <w:divBdr>
        <w:top w:val="none" w:sz="0" w:space="0" w:color="auto"/>
        <w:left w:val="none" w:sz="0" w:space="0" w:color="auto"/>
        <w:bottom w:val="none" w:sz="0" w:space="0" w:color="auto"/>
        <w:right w:val="none" w:sz="0" w:space="0" w:color="auto"/>
      </w:divBdr>
    </w:div>
    <w:div w:id="855653701">
      <w:bodyDiv w:val="1"/>
      <w:marLeft w:val="0"/>
      <w:marRight w:val="0"/>
      <w:marTop w:val="0"/>
      <w:marBottom w:val="0"/>
      <w:divBdr>
        <w:top w:val="none" w:sz="0" w:space="0" w:color="auto"/>
        <w:left w:val="none" w:sz="0" w:space="0" w:color="auto"/>
        <w:bottom w:val="none" w:sz="0" w:space="0" w:color="auto"/>
        <w:right w:val="none" w:sz="0" w:space="0" w:color="auto"/>
      </w:divBdr>
    </w:div>
    <w:div w:id="1924365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684</Words>
  <Characters>3901</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alessandra.cerilli</dc:creator>
  <cp:lastModifiedBy>cazzato</cp:lastModifiedBy>
  <cp:revision>8</cp:revision>
  <dcterms:created xsi:type="dcterms:W3CDTF">2015-03-18T10:51:00Z</dcterms:created>
  <dcterms:modified xsi:type="dcterms:W3CDTF">2015-04-27T09:35:00Z</dcterms:modified>
</cp:coreProperties>
</file>